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66EAF">
      <w:pPr>
        <w:pStyle w:val="2"/>
        <w:spacing w:before="0" w:after="0" w:line="560" w:lineRule="exact"/>
        <w:rPr>
          <w:rFonts w:ascii="方正小标宋简体" w:hAnsi="方正小标宋简体" w:eastAsia="方正小标宋简体" w:cs="方正小标宋简体"/>
          <w:spacing w:val="32"/>
          <w:kern w:val="2"/>
        </w:rPr>
      </w:pPr>
      <w:r>
        <w:rPr>
          <w:rFonts w:hint="eastAsia" w:ascii="方正小标宋简体" w:hAnsi="方正小标宋简体" w:eastAsia="方正小标宋简体" w:cs="方正小标宋简体"/>
          <w:spacing w:val="32"/>
          <w:kern w:val="2"/>
        </w:rPr>
        <w:t>竞争性谈判公告</w:t>
      </w:r>
    </w:p>
    <w:p w14:paraId="602B3AAF">
      <w:pPr>
        <w:pStyle w:val="8"/>
        <w:spacing w:after="0" w:line="560" w:lineRule="exact"/>
        <w:rPr>
          <w:rFonts w:ascii="仿宋_GB2312" w:hAnsi="宋体" w:eastAsia="仿宋_GB2312" w:cs="宋体"/>
          <w:sz w:val="32"/>
          <w:szCs w:val="32"/>
        </w:rPr>
      </w:pPr>
    </w:p>
    <w:p w14:paraId="31647A3B">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我公司将对四川省巴中市恩阳区登科街道办事处与义兴镇卢庄村、红岭村城乡建设用地增减挂钩试点项目（以下简称义兴项目）和四川省巴中市恩阳区登科街道办事处与石城乡狮子山村、千丘塝村、烂田垭村城乡建设用地增减挂钩试点项目（以下简称石城项目）开展图斑整改施工，拟采取竞争性谈判方式对服务单位（供应商）进行采购，现将有关事宜公告如下：</w:t>
      </w:r>
    </w:p>
    <w:p w14:paraId="5658A23F">
      <w:pPr>
        <w:spacing w:line="56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一、项目名称：</w:t>
      </w:r>
      <w:r>
        <w:rPr>
          <w:rFonts w:hint="eastAsia" w:ascii="仿宋_GB2312" w:hAnsi="宋体" w:eastAsia="仿宋_GB2312" w:cs="宋体"/>
          <w:sz w:val="32"/>
          <w:szCs w:val="32"/>
        </w:rPr>
        <w:t>四川省巴中市恩阳区义兴、石城增减挂钩项目图斑整改施工。</w:t>
      </w:r>
    </w:p>
    <w:p w14:paraId="73DE11C7">
      <w:pPr>
        <w:spacing w:line="56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二、项目地点：</w:t>
      </w:r>
      <w:r>
        <w:rPr>
          <w:rFonts w:hint="eastAsia" w:ascii="仿宋_GB2312" w:hAnsi="宋体" w:eastAsia="仿宋_GB2312" w:cs="宋体"/>
          <w:sz w:val="32"/>
          <w:szCs w:val="32"/>
        </w:rPr>
        <w:t>巴中市恩阳区雪山镇、兴隆镇</w:t>
      </w:r>
    </w:p>
    <w:p w14:paraId="1C2D858B">
      <w:pPr>
        <w:spacing w:line="56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三、采购人：</w:t>
      </w:r>
      <w:r>
        <w:rPr>
          <w:rFonts w:hint="eastAsia" w:ascii="仿宋_GB2312" w:hAnsi="宋体" w:eastAsia="仿宋_GB2312" w:cs="宋体"/>
          <w:sz w:val="32"/>
          <w:szCs w:val="32"/>
        </w:rPr>
        <w:t>巴中市恩阳区川投土地整理有限公司</w:t>
      </w:r>
    </w:p>
    <w:p w14:paraId="6A84A0AC">
      <w:pPr>
        <w:spacing w:line="56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四、采购方式：</w:t>
      </w:r>
      <w:r>
        <w:rPr>
          <w:rFonts w:hint="eastAsia" w:ascii="仿宋_GB2312" w:hAnsi="宋体" w:eastAsia="仿宋_GB2312" w:cs="宋体"/>
          <w:sz w:val="32"/>
          <w:szCs w:val="32"/>
        </w:rPr>
        <w:t>竞争性谈判</w:t>
      </w:r>
    </w:p>
    <w:p w14:paraId="4D01BB4F">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五、供应商（竞争性谈判人）资格要求</w:t>
      </w:r>
    </w:p>
    <w:p w14:paraId="6B8C6537">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1、具备独立法人资格的企业；</w:t>
      </w:r>
    </w:p>
    <w:p w14:paraId="18BE6989">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2、运营范围包括有建筑施工业务或劳务服务业务并满足年检合法存续的企业，在技术、人员等方面具有相应的实施能力；</w:t>
      </w:r>
    </w:p>
    <w:p w14:paraId="5818873A">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3、近5年（2020年1月1日起）至今至少有1个类似项目业绩，类似项目是指：土地整治、增减挂钩复垦、高标准农田建设、生态修复、拆除复绿等。</w:t>
      </w:r>
    </w:p>
    <w:p w14:paraId="5184D79F">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六、项目规模及服务内容</w:t>
      </w:r>
    </w:p>
    <w:p w14:paraId="6BDC5327">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1.工程规模：义兴项目（雪山镇卢庄村10.2亩、红岭村12亩）22.2亩；石城项目47.4亩（兴隆镇狮子山村9亩、烂田垭村19.7亩、千丘塝</w:t>
      </w:r>
      <w:r>
        <w:rPr>
          <w:rFonts w:hint="eastAsia" w:ascii="仿宋_GB2312" w:hAnsi="仿宋_GB2312" w:eastAsia="仿宋_GB2312" w:cs="仿宋_GB2312"/>
          <w:sz w:val="32"/>
          <w:szCs w:val="32"/>
        </w:rPr>
        <w:t>村</w:t>
      </w:r>
      <w:r>
        <w:rPr>
          <w:rFonts w:hint="eastAsia" w:ascii="仿宋_GB2312" w:hAnsi="宋体" w:eastAsia="仿宋_GB2312" w:cs="宋体"/>
          <w:sz w:val="32"/>
          <w:szCs w:val="32"/>
        </w:rPr>
        <w:t>18.7亩）。</w:t>
      </w:r>
    </w:p>
    <w:p w14:paraId="32723BE0">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服务内容：对石城项目、义兴项目撂荒地块采取人工或机械清除地表杂物、石块平整、疏通灌溉排水沟、种植当季粮食作物；对受地灾影响的地块使用机械平整、深耕翻土，改善土壤结构、疏通灌溉排水沟、种植当季粮食作物，确保其成活且生长高度达到40 cm以上。（具体内容及标准见附件1）。</w:t>
      </w:r>
    </w:p>
    <w:p w14:paraId="4BD9CCF3">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七、报价：项目最高控制价为5000元/亩，为综合包干价（含税），参与竞争性谈判的供应商报价不能高于采购人设定的控制单价，否则视为无效报价。</w:t>
      </w:r>
    </w:p>
    <w:p w14:paraId="4E0ABC61">
      <w:pPr>
        <w:spacing w:line="560" w:lineRule="exact"/>
        <w:ind w:firstLine="643" w:firstLineChars="200"/>
        <w:rPr>
          <w:rFonts w:ascii="仿宋_GB2312" w:eastAsia="仿宋_GB2312"/>
          <w:b/>
          <w:bCs/>
          <w:sz w:val="32"/>
          <w:szCs w:val="32"/>
        </w:rPr>
      </w:pPr>
      <w:r>
        <w:rPr>
          <w:rFonts w:hint="eastAsia" w:ascii="仿宋_GB2312" w:hAnsi="宋体" w:eastAsia="仿宋_GB2312" w:cs="宋体"/>
          <w:b/>
          <w:bCs/>
          <w:sz w:val="32"/>
          <w:szCs w:val="32"/>
        </w:rPr>
        <w:t>八、服务期限及要求:</w:t>
      </w:r>
      <w:r>
        <w:rPr>
          <w:rFonts w:hint="eastAsia" w:ascii="仿宋_GB2312" w:hAnsi="宋体" w:eastAsia="仿宋_GB2312" w:cs="宋体"/>
          <w:sz w:val="32"/>
          <w:szCs w:val="32"/>
        </w:rPr>
        <w:t>在2025年10月31日前完成整改并达到举证要求。</w:t>
      </w:r>
    </w:p>
    <w:p w14:paraId="4B7DC7C4">
      <w:pPr>
        <w:widowControl/>
        <w:spacing w:line="560" w:lineRule="exact"/>
        <w:ind w:firstLine="643" w:firstLineChars="200"/>
        <w:rPr>
          <w:rFonts w:ascii="仿宋_GB2312" w:hAnsi="宋体" w:eastAsia="仿宋_GB2312"/>
          <w:sz w:val="32"/>
          <w:szCs w:val="32"/>
        </w:rPr>
      </w:pPr>
      <w:r>
        <w:rPr>
          <w:rFonts w:hint="eastAsia" w:ascii="仿宋_GB2312" w:hAnsi="宋体" w:eastAsia="仿宋_GB2312" w:cs="宋体"/>
          <w:b/>
          <w:bCs/>
          <w:sz w:val="32"/>
          <w:szCs w:val="32"/>
        </w:rPr>
        <w:t>九、评审方式：</w:t>
      </w:r>
      <w:r>
        <w:rPr>
          <w:rFonts w:hint="eastAsia" w:ascii="仿宋_GB2312" w:hAnsi="宋体" w:eastAsia="仿宋_GB2312" w:cs="宋体"/>
          <w:sz w:val="32"/>
          <w:szCs w:val="32"/>
        </w:rPr>
        <w:t>采用资格后审，</w:t>
      </w:r>
      <w:r>
        <w:rPr>
          <w:rFonts w:hint="eastAsia" w:ascii="仿宋_GB2312" w:hAnsi="宋体" w:eastAsia="仿宋_GB2312"/>
          <w:sz w:val="32"/>
          <w:szCs w:val="32"/>
        </w:rPr>
        <w:t>按最低价（含二次报价）中选方式确定。</w:t>
      </w:r>
    </w:p>
    <w:p w14:paraId="2718D4CF">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十、</w:t>
      </w:r>
      <w:bookmarkStart w:id="0" w:name="OLE_LINK1"/>
      <w:r>
        <w:rPr>
          <w:rFonts w:hint="eastAsia" w:ascii="仿宋_GB2312" w:hAnsi="宋体" w:eastAsia="仿宋_GB2312" w:cs="宋体"/>
          <w:b/>
          <w:bCs/>
          <w:sz w:val="32"/>
          <w:szCs w:val="32"/>
        </w:rPr>
        <w:t>采购实施文件的密封和标注</w:t>
      </w:r>
      <w:bookmarkEnd w:id="0"/>
    </w:p>
    <w:p w14:paraId="51D209DF">
      <w:pPr>
        <w:tabs>
          <w:tab w:val="left" w:pos="1080"/>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1、供应商应在采购实施文件的封面上注明单位名称、项目名称。</w:t>
      </w:r>
    </w:p>
    <w:p w14:paraId="349BA492">
      <w:pPr>
        <w:tabs>
          <w:tab w:val="left" w:pos="1080"/>
        </w:tabs>
        <w:spacing w:line="560" w:lineRule="exact"/>
        <w:ind w:firstLine="614" w:firstLineChars="192"/>
        <w:rPr>
          <w:rFonts w:ascii="仿宋_GB2312" w:hAnsi="宋体" w:eastAsia="仿宋_GB2312"/>
          <w:sz w:val="32"/>
          <w:szCs w:val="32"/>
        </w:rPr>
      </w:pPr>
      <w:r>
        <w:rPr>
          <w:rFonts w:hint="eastAsia" w:ascii="仿宋_GB2312" w:hAnsi="宋体" w:eastAsia="仿宋_GB2312"/>
          <w:sz w:val="32"/>
          <w:szCs w:val="32"/>
        </w:rPr>
        <w:t>2、采购实施文件应密封在一个文件袋内。正副本各1份，采购实施文件的密封袋上注明与实施文件封面一致的单位名称、项目名称。</w:t>
      </w:r>
    </w:p>
    <w:p w14:paraId="548C7C64">
      <w:pPr>
        <w:tabs>
          <w:tab w:val="left" w:pos="1080"/>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3、所有外层密封袋的封口处应密封，并加盖密封章（竞争性谈判人单位印章）。</w:t>
      </w:r>
    </w:p>
    <w:p w14:paraId="1C9E41ED">
      <w:pPr>
        <w:tabs>
          <w:tab w:val="left" w:pos="1080"/>
        </w:tabs>
        <w:spacing w:line="560" w:lineRule="exact"/>
        <w:ind w:firstLine="643" w:firstLineChars="200"/>
        <w:rPr>
          <w:rFonts w:ascii="仿宋_GB2312" w:hAnsi="宋体" w:eastAsia="仿宋_GB2312"/>
          <w:sz w:val="32"/>
          <w:szCs w:val="32"/>
        </w:rPr>
      </w:pPr>
      <w:r>
        <w:rPr>
          <w:rFonts w:hint="eastAsia" w:ascii="仿宋_GB2312" w:hAnsi="宋体" w:eastAsia="仿宋_GB2312" w:cs="宋体"/>
          <w:b/>
          <w:bCs/>
          <w:sz w:val="32"/>
          <w:szCs w:val="32"/>
        </w:rPr>
        <w:t>十一、本项目是否接受联合体投标：</w:t>
      </w:r>
      <w:r>
        <w:rPr>
          <w:rFonts w:hint="eastAsia" w:ascii="仿宋_GB2312" w:hAnsi="宋体" w:eastAsia="仿宋_GB2312"/>
          <w:sz w:val="32"/>
          <w:szCs w:val="32"/>
        </w:rPr>
        <w:t>否</w:t>
      </w:r>
    </w:p>
    <w:p w14:paraId="348E2641">
      <w:pPr>
        <w:pStyle w:val="15"/>
        <w:shd w:val="clear" w:color="auto" w:fill="FFFFFF"/>
        <w:spacing w:beforeAutospacing="0" w:afterAutospacing="0" w:line="360" w:lineRule="auto"/>
        <w:ind w:firstLine="643" w:firstLineChars="200"/>
        <w:jc w:val="both"/>
        <w:rPr>
          <w:rFonts w:ascii="仿宋_GB2312" w:eastAsia="仿宋_GB2312" w:cs="宋体"/>
          <w:sz w:val="32"/>
          <w:szCs w:val="32"/>
        </w:rPr>
      </w:pPr>
      <w:r>
        <w:rPr>
          <w:rFonts w:hint="eastAsia" w:ascii="仿宋_GB2312" w:eastAsia="仿宋_GB2312" w:cs="宋体"/>
          <w:b/>
          <w:bCs/>
          <w:kern w:val="2"/>
          <w:sz w:val="32"/>
          <w:szCs w:val="32"/>
        </w:rPr>
        <w:t>十二、公告媒介：</w:t>
      </w:r>
      <w:r>
        <w:rPr>
          <w:rFonts w:hint="eastAsia" w:ascii="仿宋_GB2312" w:eastAsia="仿宋_GB2312" w:cs="宋体"/>
          <w:spacing w:val="15"/>
          <w:sz w:val="32"/>
          <w:szCs w:val="32"/>
        </w:rPr>
        <w:t>本次竞争性谈判公告在川投集团（四川省房地产开发投资有限责任公司fdc.invest.com.cn、天府阳光采购服务平台scig.tfygcgfw.com）网站上发布。</w:t>
      </w:r>
    </w:p>
    <w:p w14:paraId="4C7F1DCE">
      <w:pPr>
        <w:widowControl/>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十三、开选时间</w:t>
      </w:r>
    </w:p>
    <w:p w14:paraId="5CB3752D">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该项目将准时开选，意向人（竞争性谈判人）请按下列格式填写后于北京时间2025年6月27日上午10：00交至巴中市恩阳区锦江饭店。</w:t>
      </w:r>
    </w:p>
    <w:p w14:paraId="0271B076">
      <w:pPr>
        <w:widowControl/>
        <w:spacing w:line="560" w:lineRule="exact"/>
        <w:ind w:firstLine="640" w:firstLineChars="200"/>
        <w:rPr>
          <w:rFonts w:ascii="仿宋_GB2312" w:eastAsia="仿宋_GB2312"/>
          <w:sz w:val="32"/>
          <w:szCs w:val="32"/>
        </w:rPr>
      </w:pPr>
    </w:p>
    <w:p w14:paraId="5BB2EEB2">
      <w:pPr>
        <w:widowControl/>
        <w:spacing w:line="560" w:lineRule="exact"/>
        <w:ind w:firstLine="640" w:firstLineChars="200"/>
        <w:rPr>
          <w:rFonts w:ascii="仿宋_GB2312" w:eastAsia="仿宋_GB2312"/>
          <w:b/>
          <w:bCs/>
          <w:sz w:val="32"/>
          <w:szCs w:val="32"/>
        </w:rPr>
      </w:pPr>
      <w:r>
        <w:rPr>
          <w:rFonts w:hint="eastAsia" w:ascii="仿宋_GB2312" w:eastAsia="仿宋_GB2312"/>
          <w:sz w:val="32"/>
          <w:szCs w:val="32"/>
        </w:rPr>
        <w:t>（联系人：李波  电话：15390045985）</w:t>
      </w:r>
    </w:p>
    <w:p w14:paraId="6FECE61E">
      <w:pPr>
        <w:pStyle w:val="9"/>
      </w:pPr>
    </w:p>
    <w:p w14:paraId="0C6A26E8">
      <w:pPr>
        <w:spacing w:line="560" w:lineRule="exact"/>
        <w:rPr>
          <w:rFonts w:ascii="仿宋_GB2312" w:eastAsia="仿宋_GB2312"/>
          <w:sz w:val="32"/>
          <w:szCs w:val="32"/>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01528">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F145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6BF145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yMTEzMzhmMmZmNzUwM2M3YTU1Mjc5MDU5MmMwNjQifQ=="/>
  </w:docVars>
  <w:rsids>
    <w:rsidRoot w:val="000C5A32"/>
    <w:rsid w:val="000620D2"/>
    <w:rsid w:val="000718C4"/>
    <w:rsid w:val="000A22F0"/>
    <w:rsid w:val="000B6EEA"/>
    <w:rsid w:val="000C2476"/>
    <w:rsid w:val="000C5A32"/>
    <w:rsid w:val="000E0E57"/>
    <w:rsid w:val="000E2F2A"/>
    <w:rsid w:val="000F2439"/>
    <w:rsid w:val="001041A5"/>
    <w:rsid w:val="00116CA7"/>
    <w:rsid w:val="0014759F"/>
    <w:rsid w:val="001627B0"/>
    <w:rsid w:val="001876CD"/>
    <w:rsid w:val="001B5FAE"/>
    <w:rsid w:val="001C4ECB"/>
    <w:rsid w:val="0021418A"/>
    <w:rsid w:val="002457DB"/>
    <w:rsid w:val="00250C6C"/>
    <w:rsid w:val="00251172"/>
    <w:rsid w:val="00263A80"/>
    <w:rsid w:val="0027110B"/>
    <w:rsid w:val="00285E57"/>
    <w:rsid w:val="002A0CDD"/>
    <w:rsid w:val="002B13A1"/>
    <w:rsid w:val="003451C7"/>
    <w:rsid w:val="00370344"/>
    <w:rsid w:val="00373A64"/>
    <w:rsid w:val="0037580F"/>
    <w:rsid w:val="003A5950"/>
    <w:rsid w:val="003C3058"/>
    <w:rsid w:val="003C4430"/>
    <w:rsid w:val="003E6F91"/>
    <w:rsid w:val="003F003D"/>
    <w:rsid w:val="004314E5"/>
    <w:rsid w:val="00432E9F"/>
    <w:rsid w:val="00435BE4"/>
    <w:rsid w:val="00436316"/>
    <w:rsid w:val="00443C18"/>
    <w:rsid w:val="00471114"/>
    <w:rsid w:val="004827A5"/>
    <w:rsid w:val="00484F87"/>
    <w:rsid w:val="004C3A2D"/>
    <w:rsid w:val="004C6352"/>
    <w:rsid w:val="004E1040"/>
    <w:rsid w:val="004E516E"/>
    <w:rsid w:val="004E698B"/>
    <w:rsid w:val="00510030"/>
    <w:rsid w:val="005117CB"/>
    <w:rsid w:val="00535607"/>
    <w:rsid w:val="00550878"/>
    <w:rsid w:val="005678EF"/>
    <w:rsid w:val="0058796A"/>
    <w:rsid w:val="00594B69"/>
    <w:rsid w:val="005D2146"/>
    <w:rsid w:val="005E07AE"/>
    <w:rsid w:val="005E3649"/>
    <w:rsid w:val="005E4F1F"/>
    <w:rsid w:val="005F17E5"/>
    <w:rsid w:val="005F52A1"/>
    <w:rsid w:val="005F59C4"/>
    <w:rsid w:val="00607910"/>
    <w:rsid w:val="00621C36"/>
    <w:rsid w:val="0063025A"/>
    <w:rsid w:val="00652D0F"/>
    <w:rsid w:val="00662DE0"/>
    <w:rsid w:val="006718EE"/>
    <w:rsid w:val="00694B34"/>
    <w:rsid w:val="006B578A"/>
    <w:rsid w:val="006B5C1A"/>
    <w:rsid w:val="006F168E"/>
    <w:rsid w:val="00702089"/>
    <w:rsid w:val="00744145"/>
    <w:rsid w:val="00764DBC"/>
    <w:rsid w:val="007728B4"/>
    <w:rsid w:val="0077468B"/>
    <w:rsid w:val="00782C9A"/>
    <w:rsid w:val="007D16BF"/>
    <w:rsid w:val="00803A41"/>
    <w:rsid w:val="00821655"/>
    <w:rsid w:val="00824AEE"/>
    <w:rsid w:val="00834EC6"/>
    <w:rsid w:val="008405B5"/>
    <w:rsid w:val="00850E0F"/>
    <w:rsid w:val="008632E4"/>
    <w:rsid w:val="008651FE"/>
    <w:rsid w:val="0088609A"/>
    <w:rsid w:val="00891F6A"/>
    <w:rsid w:val="008942AE"/>
    <w:rsid w:val="008A1A43"/>
    <w:rsid w:val="008A2E2B"/>
    <w:rsid w:val="008A7F0C"/>
    <w:rsid w:val="008C05C6"/>
    <w:rsid w:val="008D2AEE"/>
    <w:rsid w:val="009203D2"/>
    <w:rsid w:val="00930A09"/>
    <w:rsid w:val="00933070"/>
    <w:rsid w:val="009333AD"/>
    <w:rsid w:val="00966433"/>
    <w:rsid w:val="00992176"/>
    <w:rsid w:val="00997906"/>
    <w:rsid w:val="009E6491"/>
    <w:rsid w:val="009F29BA"/>
    <w:rsid w:val="00A00385"/>
    <w:rsid w:val="00A05864"/>
    <w:rsid w:val="00A07CD1"/>
    <w:rsid w:val="00A203E3"/>
    <w:rsid w:val="00A210C5"/>
    <w:rsid w:val="00A24BCE"/>
    <w:rsid w:val="00A27401"/>
    <w:rsid w:val="00A55B52"/>
    <w:rsid w:val="00A62123"/>
    <w:rsid w:val="00A87BCF"/>
    <w:rsid w:val="00AD71D7"/>
    <w:rsid w:val="00AE7492"/>
    <w:rsid w:val="00AF7CFA"/>
    <w:rsid w:val="00B06CB0"/>
    <w:rsid w:val="00B16922"/>
    <w:rsid w:val="00B1754E"/>
    <w:rsid w:val="00B21254"/>
    <w:rsid w:val="00B32B0C"/>
    <w:rsid w:val="00B470F1"/>
    <w:rsid w:val="00B514EC"/>
    <w:rsid w:val="00B55082"/>
    <w:rsid w:val="00BB2816"/>
    <w:rsid w:val="00BC6692"/>
    <w:rsid w:val="00BF1489"/>
    <w:rsid w:val="00BF2CDD"/>
    <w:rsid w:val="00C105A2"/>
    <w:rsid w:val="00C64946"/>
    <w:rsid w:val="00C81649"/>
    <w:rsid w:val="00C923ED"/>
    <w:rsid w:val="00CC3B54"/>
    <w:rsid w:val="00CE7D5E"/>
    <w:rsid w:val="00D17466"/>
    <w:rsid w:val="00D2585D"/>
    <w:rsid w:val="00D4058E"/>
    <w:rsid w:val="00D57235"/>
    <w:rsid w:val="00D57DDC"/>
    <w:rsid w:val="00D60925"/>
    <w:rsid w:val="00D61A9B"/>
    <w:rsid w:val="00D932B4"/>
    <w:rsid w:val="00D938AB"/>
    <w:rsid w:val="00DA225C"/>
    <w:rsid w:val="00DA6D9A"/>
    <w:rsid w:val="00DE73D8"/>
    <w:rsid w:val="00E041C8"/>
    <w:rsid w:val="00E066B7"/>
    <w:rsid w:val="00E15216"/>
    <w:rsid w:val="00E31FA1"/>
    <w:rsid w:val="00E46A8B"/>
    <w:rsid w:val="00E64B4B"/>
    <w:rsid w:val="00E81BE7"/>
    <w:rsid w:val="00E95944"/>
    <w:rsid w:val="00EB6D14"/>
    <w:rsid w:val="00EC3D95"/>
    <w:rsid w:val="00EE567A"/>
    <w:rsid w:val="00EF502A"/>
    <w:rsid w:val="00F21197"/>
    <w:rsid w:val="00F2451B"/>
    <w:rsid w:val="00F6481E"/>
    <w:rsid w:val="00F86852"/>
    <w:rsid w:val="00FD1548"/>
    <w:rsid w:val="00FE6911"/>
    <w:rsid w:val="01BF386B"/>
    <w:rsid w:val="02A62DC8"/>
    <w:rsid w:val="02FC1075"/>
    <w:rsid w:val="038631D7"/>
    <w:rsid w:val="03CC39B9"/>
    <w:rsid w:val="03CF5681"/>
    <w:rsid w:val="06287F82"/>
    <w:rsid w:val="06F32146"/>
    <w:rsid w:val="081675BC"/>
    <w:rsid w:val="083C355F"/>
    <w:rsid w:val="09692F39"/>
    <w:rsid w:val="108C1490"/>
    <w:rsid w:val="10E45CB4"/>
    <w:rsid w:val="110617BC"/>
    <w:rsid w:val="125F55E5"/>
    <w:rsid w:val="161020B1"/>
    <w:rsid w:val="16A53E8B"/>
    <w:rsid w:val="170057BD"/>
    <w:rsid w:val="18453C60"/>
    <w:rsid w:val="18BA5E1D"/>
    <w:rsid w:val="1A4F7538"/>
    <w:rsid w:val="1B132325"/>
    <w:rsid w:val="1C5B11AB"/>
    <w:rsid w:val="2145405B"/>
    <w:rsid w:val="23A11E46"/>
    <w:rsid w:val="24AD517D"/>
    <w:rsid w:val="25BB128B"/>
    <w:rsid w:val="264B1BC0"/>
    <w:rsid w:val="273C6DEC"/>
    <w:rsid w:val="298164CA"/>
    <w:rsid w:val="2C0F6564"/>
    <w:rsid w:val="2D18338A"/>
    <w:rsid w:val="2ED619BF"/>
    <w:rsid w:val="30D81522"/>
    <w:rsid w:val="319676CC"/>
    <w:rsid w:val="31C406C8"/>
    <w:rsid w:val="368C748A"/>
    <w:rsid w:val="36A93572"/>
    <w:rsid w:val="37481401"/>
    <w:rsid w:val="37B70103"/>
    <w:rsid w:val="39BA55B4"/>
    <w:rsid w:val="3A282A66"/>
    <w:rsid w:val="3CA205BA"/>
    <w:rsid w:val="3DF94FBC"/>
    <w:rsid w:val="3EE16F82"/>
    <w:rsid w:val="3EE26219"/>
    <w:rsid w:val="401D723F"/>
    <w:rsid w:val="41632BF5"/>
    <w:rsid w:val="42172046"/>
    <w:rsid w:val="428E3965"/>
    <w:rsid w:val="43811129"/>
    <w:rsid w:val="44894FAB"/>
    <w:rsid w:val="4CBC3CCA"/>
    <w:rsid w:val="4E6B6615"/>
    <w:rsid w:val="51535456"/>
    <w:rsid w:val="5A246FB2"/>
    <w:rsid w:val="5A8647D6"/>
    <w:rsid w:val="5AA02428"/>
    <w:rsid w:val="5B8D78C2"/>
    <w:rsid w:val="5BC4314E"/>
    <w:rsid w:val="5BFB796B"/>
    <w:rsid w:val="5DA4529C"/>
    <w:rsid w:val="5FD037C0"/>
    <w:rsid w:val="62E81F5D"/>
    <w:rsid w:val="67594349"/>
    <w:rsid w:val="682E1307"/>
    <w:rsid w:val="685A2E0E"/>
    <w:rsid w:val="6F696E68"/>
    <w:rsid w:val="6F7332E1"/>
    <w:rsid w:val="6FA679C1"/>
    <w:rsid w:val="6FA913CC"/>
    <w:rsid w:val="6FB232D2"/>
    <w:rsid w:val="712F196D"/>
    <w:rsid w:val="713D7E06"/>
    <w:rsid w:val="713F1985"/>
    <w:rsid w:val="72BC18FE"/>
    <w:rsid w:val="74A83C2C"/>
    <w:rsid w:val="74C961DB"/>
    <w:rsid w:val="76481D09"/>
    <w:rsid w:val="7A24798C"/>
    <w:rsid w:val="7B4C2AD8"/>
    <w:rsid w:val="7E2469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1"/>
    <w:qFormat/>
    <w:uiPriority w:val="99"/>
    <w:pPr>
      <w:keepNext/>
      <w:keepLines/>
      <w:spacing w:before="120" w:after="120" w:line="576" w:lineRule="auto"/>
      <w:jc w:val="center"/>
      <w:outlineLvl w:val="0"/>
    </w:pPr>
    <w:rPr>
      <w:b/>
      <w:bCs/>
      <w:kern w:val="44"/>
      <w:sz w:val="44"/>
      <w:szCs w:val="44"/>
    </w:rPr>
  </w:style>
  <w:style w:type="paragraph" w:styleId="3">
    <w:name w:val="heading 2"/>
    <w:basedOn w:val="1"/>
    <w:next w:val="1"/>
    <w:link w:val="22"/>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3"/>
    <w:qFormat/>
    <w:uiPriority w:val="99"/>
    <w:pPr>
      <w:keepNext/>
      <w:keepLines/>
      <w:spacing w:before="260" w:after="260" w:line="416" w:lineRule="auto"/>
      <w:outlineLvl w:val="2"/>
    </w:pPr>
    <w:rPr>
      <w:b/>
      <w:bCs/>
      <w:sz w:val="32"/>
      <w:szCs w:val="32"/>
    </w:rPr>
  </w:style>
  <w:style w:type="paragraph" w:styleId="5">
    <w:name w:val="heading 4"/>
    <w:basedOn w:val="1"/>
    <w:next w:val="1"/>
    <w:link w:val="24"/>
    <w:qFormat/>
    <w:uiPriority w:val="99"/>
    <w:pPr>
      <w:keepNext/>
      <w:keepLines/>
      <w:spacing w:before="280" w:after="290" w:line="376" w:lineRule="auto"/>
      <w:outlineLvl w:val="3"/>
    </w:pPr>
    <w:rPr>
      <w:rFonts w:ascii="Cambria" w:hAnsi="Cambria" w:cs="Cambria"/>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99"/>
    <w:pPr>
      <w:autoSpaceDE w:val="0"/>
      <w:autoSpaceDN w:val="0"/>
      <w:adjustRightInd w:val="0"/>
      <w:ind w:firstLine="488"/>
      <w:textAlignment w:val="baseline"/>
    </w:pPr>
    <w:rPr>
      <w:kern w:val="0"/>
      <w:sz w:val="24"/>
      <w:szCs w:val="20"/>
    </w:rPr>
  </w:style>
  <w:style w:type="paragraph" w:styleId="7">
    <w:name w:val="annotation text"/>
    <w:basedOn w:val="1"/>
    <w:semiHidden/>
    <w:unhideWhenUsed/>
    <w:qFormat/>
    <w:uiPriority w:val="99"/>
    <w:pPr>
      <w:jc w:val="left"/>
    </w:pPr>
  </w:style>
  <w:style w:type="paragraph" w:styleId="8">
    <w:name w:val="Body Text 3"/>
    <w:basedOn w:val="1"/>
    <w:link w:val="30"/>
    <w:qFormat/>
    <w:uiPriority w:val="99"/>
    <w:pPr>
      <w:spacing w:after="120"/>
    </w:pPr>
    <w:rPr>
      <w:sz w:val="16"/>
      <w:szCs w:val="16"/>
    </w:rPr>
  </w:style>
  <w:style w:type="paragraph" w:styleId="9">
    <w:name w:val="Body Text"/>
    <w:basedOn w:val="1"/>
    <w:semiHidden/>
    <w:unhideWhenUsed/>
    <w:qFormat/>
    <w:uiPriority w:val="99"/>
    <w:pPr>
      <w:spacing w:after="120"/>
    </w:pPr>
  </w:style>
  <w:style w:type="paragraph" w:styleId="10">
    <w:name w:val="Plain Text"/>
    <w:basedOn w:val="1"/>
    <w:qFormat/>
    <w:uiPriority w:val="0"/>
    <w:rPr>
      <w:rFonts w:ascii="宋体" w:hAnsi="Courier New"/>
      <w:szCs w:val="20"/>
    </w:rPr>
  </w:style>
  <w:style w:type="paragraph" w:styleId="11">
    <w:name w:val="Date"/>
    <w:basedOn w:val="1"/>
    <w:next w:val="1"/>
    <w:link w:val="27"/>
    <w:semiHidden/>
    <w:qFormat/>
    <w:uiPriority w:val="99"/>
    <w:pPr>
      <w:ind w:left="100" w:leftChars="2500"/>
    </w:pPr>
  </w:style>
  <w:style w:type="paragraph" w:styleId="12">
    <w:name w:val="Body Text Indent 2"/>
    <w:basedOn w:val="1"/>
    <w:link w:val="29"/>
    <w:qFormat/>
    <w:uiPriority w:val="99"/>
    <w:pPr>
      <w:ind w:firstLine="560" w:firstLineChars="200"/>
    </w:pPr>
    <w:rPr>
      <w:rFonts w:ascii="宋体" w:hAnsi="宋体" w:cs="宋体"/>
      <w:sz w:val="28"/>
      <w:szCs w:val="28"/>
    </w:rPr>
  </w:style>
  <w:style w:type="paragraph" w:styleId="13">
    <w:name w:val="footer"/>
    <w:basedOn w:val="1"/>
    <w:link w:val="26"/>
    <w:qFormat/>
    <w:uiPriority w:val="99"/>
    <w:pPr>
      <w:tabs>
        <w:tab w:val="center" w:pos="4153"/>
        <w:tab w:val="right" w:pos="8306"/>
      </w:tabs>
      <w:snapToGrid w:val="0"/>
      <w:jc w:val="left"/>
    </w:pPr>
    <w:rPr>
      <w:rFonts w:ascii="Calibri" w:hAnsi="Calibri" w:cs="Calibri"/>
      <w:sz w:val="18"/>
      <w:szCs w:val="18"/>
    </w:rPr>
  </w:style>
  <w:style w:type="paragraph" w:styleId="14">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15">
    <w:name w:val="Normal (Web)"/>
    <w:basedOn w:val="1"/>
    <w:qFormat/>
    <w:uiPriority w:val="0"/>
    <w:pPr>
      <w:widowControl/>
      <w:spacing w:beforeAutospacing="1" w:afterAutospacing="1"/>
      <w:jc w:val="left"/>
    </w:pPr>
    <w:rPr>
      <w:rFonts w:ascii="宋体" w:hAnsi="宋体"/>
      <w:kern w:val="0"/>
      <w:sz w:val="24"/>
    </w:rPr>
  </w:style>
  <w:style w:type="paragraph" w:styleId="16">
    <w:name w:val="Title"/>
    <w:basedOn w:val="1"/>
    <w:next w:val="1"/>
    <w:link w:val="31"/>
    <w:qFormat/>
    <w:locked/>
    <w:uiPriority w:val="0"/>
    <w:pPr>
      <w:spacing w:before="240" w:after="60"/>
      <w:jc w:val="center"/>
      <w:outlineLvl w:val="0"/>
    </w:pPr>
    <w:rPr>
      <w:rFonts w:asciiTheme="majorHAnsi" w:hAnsiTheme="majorHAnsi" w:eastAsiaTheme="majorEastAsia" w:cstheme="majorBidi"/>
      <w:b/>
      <w:bCs/>
      <w:sz w:val="32"/>
      <w:szCs w:val="32"/>
    </w:rPr>
  </w:style>
  <w:style w:type="table" w:styleId="18">
    <w:name w:val="Table Grid"/>
    <w:basedOn w:val="17"/>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annotation reference"/>
    <w:basedOn w:val="19"/>
    <w:semiHidden/>
    <w:unhideWhenUsed/>
    <w:qFormat/>
    <w:uiPriority w:val="99"/>
    <w:rPr>
      <w:sz w:val="21"/>
      <w:szCs w:val="21"/>
    </w:rPr>
  </w:style>
  <w:style w:type="character" w:customStyle="1" w:styleId="21">
    <w:name w:val="标题 1 字符"/>
    <w:basedOn w:val="19"/>
    <w:link w:val="2"/>
    <w:qFormat/>
    <w:locked/>
    <w:uiPriority w:val="99"/>
    <w:rPr>
      <w:rFonts w:ascii="Times New Roman" w:hAnsi="Times New Roman" w:eastAsia="宋体" w:cs="Times New Roman"/>
      <w:b/>
      <w:bCs/>
      <w:kern w:val="44"/>
      <w:sz w:val="20"/>
      <w:szCs w:val="20"/>
    </w:rPr>
  </w:style>
  <w:style w:type="character" w:customStyle="1" w:styleId="22">
    <w:name w:val="标题 2 字符"/>
    <w:basedOn w:val="19"/>
    <w:link w:val="3"/>
    <w:semiHidden/>
    <w:qFormat/>
    <w:locked/>
    <w:uiPriority w:val="99"/>
    <w:rPr>
      <w:rFonts w:ascii="Cambria" w:hAnsi="Cambria" w:eastAsia="宋体" w:cs="Cambria"/>
      <w:b/>
      <w:bCs/>
      <w:sz w:val="32"/>
      <w:szCs w:val="32"/>
    </w:rPr>
  </w:style>
  <w:style w:type="character" w:customStyle="1" w:styleId="23">
    <w:name w:val="标题 3 字符"/>
    <w:basedOn w:val="19"/>
    <w:link w:val="4"/>
    <w:semiHidden/>
    <w:qFormat/>
    <w:locked/>
    <w:uiPriority w:val="99"/>
    <w:rPr>
      <w:rFonts w:ascii="Times New Roman" w:hAnsi="Times New Roman" w:eastAsia="宋体" w:cs="Times New Roman"/>
      <w:b/>
      <w:bCs/>
      <w:sz w:val="32"/>
      <w:szCs w:val="32"/>
    </w:rPr>
  </w:style>
  <w:style w:type="character" w:customStyle="1" w:styleId="24">
    <w:name w:val="标题 4 字符"/>
    <w:basedOn w:val="19"/>
    <w:link w:val="5"/>
    <w:semiHidden/>
    <w:qFormat/>
    <w:locked/>
    <w:uiPriority w:val="99"/>
    <w:rPr>
      <w:rFonts w:ascii="Cambria" w:hAnsi="Cambria" w:eastAsia="宋体" w:cs="Cambria"/>
      <w:b/>
      <w:bCs/>
      <w:sz w:val="28"/>
      <w:szCs w:val="28"/>
    </w:rPr>
  </w:style>
  <w:style w:type="character" w:customStyle="1" w:styleId="25">
    <w:name w:val="页眉 字符"/>
    <w:basedOn w:val="19"/>
    <w:link w:val="14"/>
    <w:semiHidden/>
    <w:qFormat/>
    <w:locked/>
    <w:uiPriority w:val="99"/>
    <w:rPr>
      <w:sz w:val="18"/>
      <w:szCs w:val="18"/>
    </w:rPr>
  </w:style>
  <w:style w:type="character" w:customStyle="1" w:styleId="26">
    <w:name w:val="页脚 字符"/>
    <w:basedOn w:val="19"/>
    <w:link w:val="13"/>
    <w:qFormat/>
    <w:locked/>
    <w:uiPriority w:val="99"/>
    <w:rPr>
      <w:sz w:val="18"/>
      <w:szCs w:val="18"/>
    </w:rPr>
  </w:style>
  <w:style w:type="character" w:customStyle="1" w:styleId="27">
    <w:name w:val="日期 字符"/>
    <w:basedOn w:val="19"/>
    <w:link w:val="11"/>
    <w:semiHidden/>
    <w:qFormat/>
    <w:locked/>
    <w:uiPriority w:val="99"/>
    <w:rPr>
      <w:rFonts w:ascii="Times New Roman" w:hAnsi="Times New Roman" w:eastAsia="宋体" w:cs="Times New Roman"/>
      <w:sz w:val="24"/>
      <w:szCs w:val="24"/>
    </w:rPr>
  </w:style>
  <w:style w:type="paragraph" w:styleId="28">
    <w:name w:val="List Paragraph"/>
    <w:basedOn w:val="1"/>
    <w:qFormat/>
    <w:uiPriority w:val="99"/>
    <w:pPr>
      <w:ind w:firstLine="420" w:firstLineChars="200"/>
    </w:pPr>
  </w:style>
  <w:style w:type="character" w:customStyle="1" w:styleId="29">
    <w:name w:val="正文文本缩进 2 字符"/>
    <w:basedOn w:val="19"/>
    <w:link w:val="12"/>
    <w:qFormat/>
    <w:locked/>
    <w:uiPriority w:val="99"/>
    <w:rPr>
      <w:rFonts w:ascii="宋体" w:hAnsi="宋体" w:eastAsia="宋体" w:cs="宋体"/>
      <w:sz w:val="24"/>
      <w:szCs w:val="24"/>
    </w:rPr>
  </w:style>
  <w:style w:type="character" w:customStyle="1" w:styleId="30">
    <w:name w:val="正文文本 3 字符"/>
    <w:basedOn w:val="19"/>
    <w:link w:val="8"/>
    <w:qFormat/>
    <w:locked/>
    <w:uiPriority w:val="99"/>
    <w:rPr>
      <w:rFonts w:ascii="Times New Roman" w:hAnsi="Times New Roman" w:eastAsia="宋体" w:cs="Times New Roman"/>
      <w:sz w:val="16"/>
      <w:szCs w:val="16"/>
    </w:rPr>
  </w:style>
  <w:style w:type="character" w:customStyle="1" w:styleId="31">
    <w:name w:val="标题 字符"/>
    <w:basedOn w:val="19"/>
    <w:link w:val="16"/>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2BFD1-C2E0-480A-A94E-9496EA942C4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2969</Words>
  <Characters>3075</Characters>
  <Lines>29</Lines>
  <Paragraphs>8</Paragraphs>
  <TotalTime>10</TotalTime>
  <ScaleCrop>false</ScaleCrop>
  <LinksUpToDate>false</LinksUpToDate>
  <CharactersWithSpaces>3936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2025-06-19T02:53:00Z</dcterms:created>
  <dc:creator>we</dc:creator>
  <cp:lastModifiedBy>高倩</cp:lastModifiedBy>
  <cp:lastPrinted>2024-08-13T07:26:00Z</cp:lastPrinted>
  <dcterms:modified xsi:type="dcterms:W3CDTF">2025-06-19T06:04:35Z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14B496B5412E435D9240B685A0586BBC_13</vt:lpwstr>
  </property>
  <property fmtid="{D5CDD505-2E9C-101B-9397-08002B2CF9AE}" pid="4" name="KSOTemplateDocerSaveRecord">
    <vt:lpwstr>eyJoZGlkIjoiMjFhOWE1NTA0NDcxMThkOWVmNDZlMTVhYjdkNTk2ZmUiLCJ1c2VySWQiOiIyODY5MDkxMDcifQ==</vt:lpwstr>
  </property>
</Properties>
</file>